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8" w:lineRule="auto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附件2-2</w:t>
      </w:r>
    </w:p>
    <w:p>
      <w:pPr>
        <w:spacing w:line="348" w:lineRule="auto"/>
        <w:rPr>
          <w:rFonts w:eastAsia="黑体" w:cs="黑体"/>
          <w:bCs/>
          <w:sz w:val="32"/>
          <w:szCs w:val="32"/>
        </w:rPr>
      </w:pPr>
    </w:p>
    <w:p>
      <w:pPr>
        <w:spacing w:beforeLines="50" w:line="348" w:lineRule="auto"/>
        <w:jc w:val="center"/>
        <w:rPr>
          <w:rFonts w:eastAsia="方正小标宋简体"/>
          <w:bCs/>
          <w:sz w:val="44"/>
          <w:szCs w:val="44"/>
        </w:rPr>
      </w:pPr>
      <w:r>
        <w:rPr>
          <w:rFonts w:hint="eastAsia" w:eastAsia="方正小标宋简体"/>
          <w:bCs/>
          <w:sz w:val="44"/>
          <w:szCs w:val="44"/>
        </w:rPr>
        <w:t>岳阳县2020年财政项目支出绩效评价自评报告</w:t>
      </w:r>
    </w:p>
    <w:p>
      <w:pPr>
        <w:rPr>
          <w:rFonts w:eastAsia="仿宋_GB2312"/>
          <w:b/>
          <w:sz w:val="32"/>
        </w:rPr>
      </w:pPr>
    </w:p>
    <w:p>
      <w:pPr>
        <w:rPr>
          <w:rFonts w:eastAsia="仿宋_GB2312"/>
          <w:b/>
          <w:sz w:val="32"/>
        </w:rPr>
      </w:pPr>
    </w:p>
    <w:p>
      <w:pPr>
        <w:spacing w:line="760" w:lineRule="exact"/>
        <w:ind w:firstLine="470" w:firstLineChars="147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评价类型：项目实施过程评价□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hint="eastAsia" w:eastAsia="仿宋_GB2312"/>
          <w:sz w:val="32"/>
          <w:szCs w:val="32"/>
        </w:rPr>
        <w:t>项目完成结果评价</w:t>
      </w:r>
      <w:r>
        <w:rPr>
          <w:rFonts w:hint="eastAsia" w:ascii="仿宋" w:hAnsi="仿宋" w:eastAsia="MS Mincho" w:cs="MS Mincho"/>
          <w:sz w:val="32"/>
          <w:szCs w:val="32"/>
        </w:rPr>
        <w:t>☑</w:t>
      </w:r>
    </w:p>
    <w:p>
      <w:pPr>
        <w:spacing w:beforeLines="50"/>
        <w:ind w:firstLine="480" w:firstLineChars="150"/>
        <w:rPr>
          <w:rFonts w:eastAsia="仿宋_GB2312"/>
          <w:sz w:val="32"/>
          <w:szCs w:val="32"/>
          <w:u w:val="single"/>
        </w:rPr>
      </w:pPr>
      <w:r>
        <w:rPr>
          <w:rFonts w:hint="eastAsia" w:eastAsia="仿宋_GB2312"/>
          <w:sz w:val="32"/>
          <w:szCs w:val="32"/>
        </w:rPr>
        <w:t>项目名称：</w:t>
      </w:r>
      <w:r>
        <w:rPr>
          <w:rFonts w:hint="eastAsia" w:eastAsia="仿宋_GB2312"/>
          <w:sz w:val="32"/>
          <w:szCs w:val="32"/>
          <w:u w:val="single"/>
        </w:rPr>
        <w:t xml:space="preserve">     省级食品安全示范县创建专项        </w:t>
      </w:r>
    </w:p>
    <w:p>
      <w:pPr>
        <w:spacing w:beforeLines="50"/>
        <w:ind w:firstLine="480" w:firstLineChars="15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项目单位：</w:t>
      </w:r>
      <w:r>
        <w:rPr>
          <w:rFonts w:hint="eastAsia" w:eastAsia="仿宋_GB2312"/>
          <w:sz w:val="32"/>
          <w:szCs w:val="32"/>
          <w:u w:val="single"/>
        </w:rPr>
        <w:t xml:space="preserve">        岳阳县市场监督管理局           </w:t>
      </w:r>
    </w:p>
    <w:p>
      <w:pPr>
        <w:spacing w:beforeLines="50"/>
        <w:ind w:firstLine="480" w:firstLineChars="150"/>
        <w:rPr>
          <w:rFonts w:eastAsia="仿宋_GB2312"/>
          <w:sz w:val="32"/>
          <w:szCs w:val="32"/>
          <w:u w:val="single"/>
        </w:rPr>
      </w:pPr>
      <w:r>
        <w:rPr>
          <w:rFonts w:hint="eastAsia" w:eastAsia="仿宋_GB2312"/>
          <w:sz w:val="32"/>
          <w:szCs w:val="32"/>
        </w:rPr>
        <w:t>主管部门：</w:t>
      </w:r>
      <w:r>
        <w:rPr>
          <w:rFonts w:hint="eastAsia" w:eastAsia="仿宋_GB2312"/>
          <w:sz w:val="32"/>
          <w:szCs w:val="32"/>
          <w:u w:val="single"/>
        </w:rPr>
        <w:t xml:space="preserve">        岳阳县市场监督管理局           </w:t>
      </w:r>
    </w:p>
    <w:p>
      <w:pPr>
        <w:spacing w:beforeLines="50" w:line="760" w:lineRule="exact"/>
        <w:ind w:firstLine="480" w:firstLineChars="15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评价方式：</w:t>
      </w:r>
      <w:r>
        <w:rPr>
          <w:rFonts w:hint="eastAsia" w:eastAsia="仿宋_GB2312"/>
          <w:sz w:val="28"/>
          <w:szCs w:val="28"/>
        </w:rPr>
        <w:t>部门（单位）绩效自评</w:t>
      </w:r>
    </w:p>
    <w:p>
      <w:pPr>
        <w:spacing w:beforeLines="50" w:line="760" w:lineRule="exact"/>
        <w:ind w:firstLine="480" w:firstLineChars="15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32"/>
          <w:szCs w:val="32"/>
        </w:rPr>
        <w:t>评价机构：</w:t>
      </w:r>
      <w:r>
        <w:rPr>
          <w:rFonts w:hint="eastAsia" w:eastAsia="仿宋_GB2312"/>
          <w:sz w:val="28"/>
          <w:szCs w:val="28"/>
        </w:rPr>
        <w:t>部门（单位）评价组</w:t>
      </w:r>
      <w:r>
        <w:rPr>
          <w:rFonts w:eastAsia="仿宋_GB2312"/>
          <w:sz w:val="28"/>
          <w:szCs w:val="28"/>
        </w:rPr>
        <w:t xml:space="preserve">   </w:t>
      </w:r>
    </w:p>
    <w:p>
      <w:pPr>
        <w:spacing w:beforeLines="50" w:line="760" w:lineRule="exact"/>
        <w:ind w:firstLine="420" w:firstLineChars="150"/>
        <w:rPr>
          <w:rFonts w:eastAsia="仿宋_GB2312"/>
          <w:sz w:val="28"/>
          <w:szCs w:val="28"/>
        </w:rPr>
      </w:pPr>
    </w:p>
    <w:p>
      <w:pPr>
        <w:spacing w:beforeLines="50" w:line="348" w:lineRule="auto"/>
        <w:ind w:firstLine="420" w:firstLineChars="150"/>
        <w:rPr>
          <w:rFonts w:eastAsia="仿宋_GB2312"/>
          <w:sz w:val="28"/>
          <w:szCs w:val="28"/>
        </w:rPr>
      </w:pPr>
    </w:p>
    <w:p>
      <w:pPr>
        <w:spacing w:beforeLines="50" w:line="348" w:lineRule="auto"/>
        <w:ind w:firstLine="420" w:firstLineChars="150"/>
        <w:rPr>
          <w:rFonts w:eastAsia="仿宋_GB2312"/>
          <w:sz w:val="28"/>
          <w:szCs w:val="28"/>
        </w:rPr>
      </w:pPr>
    </w:p>
    <w:p>
      <w:pPr>
        <w:spacing w:beforeLines="50" w:line="120" w:lineRule="exact"/>
        <w:ind w:firstLine="420" w:firstLineChars="150"/>
        <w:rPr>
          <w:rFonts w:eastAsia="仿宋_GB2312"/>
          <w:sz w:val="28"/>
          <w:szCs w:val="28"/>
        </w:rPr>
      </w:pPr>
    </w:p>
    <w:p>
      <w:pPr>
        <w:spacing w:beforeLines="50" w:line="120" w:lineRule="exact"/>
        <w:ind w:firstLine="420" w:firstLineChars="150"/>
        <w:rPr>
          <w:rFonts w:eastAsia="仿宋_GB2312"/>
          <w:sz w:val="28"/>
          <w:szCs w:val="28"/>
        </w:rPr>
      </w:pPr>
    </w:p>
    <w:p>
      <w:pPr>
        <w:spacing w:beforeLines="50" w:line="120" w:lineRule="exact"/>
        <w:ind w:firstLine="420" w:firstLineChars="150"/>
        <w:rPr>
          <w:rFonts w:eastAsia="仿宋_GB2312"/>
          <w:sz w:val="28"/>
          <w:szCs w:val="28"/>
        </w:rPr>
      </w:pPr>
    </w:p>
    <w:p>
      <w:pPr>
        <w:spacing w:line="348" w:lineRule="auto"/>
        <w:jc w:val="center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报告日期：2021年</w:t>
      </w:r>
      <w:r>
        <w:rPr>
          <w:rFonts w:hint="eastAsia" w:eastAsia="仿宋_GB2312"/>
          <w:sz w:val="32"/>
          <w:lang w:val="en-US" w:eastAsia="zh-CN"/>
        </w:rPr>
        <w:t>8</w:t>
      </w:r>
      <w:r>
        <w:rPr>
          <w:rFonts w:hint="eastAsia" w:eastAsia="仿宋_GB2312"/>
          <w:sz w:val="32"/>
        </w:rPr>
        <w:t>月2</w:t>
      </w:r>
      <w:r>
        <w:rPr>
          <w:rFonts w:hint="eastAsia" w:eastAsia="仿宋_GB2312"/>
          <w:sz w:val="32"/>
          <w:lang w:val="en-US" w:eastAsia="zh-CN"/>
        </w:rPr>
        <w:t>7</w:t>
      </w:r>
      <w:bookmarkStart w:id="0" w:name="_GoBack"/>
      <w:bookmarkEnd w:id="0"/>
      <w:r>
        <w:rPr>
          <w:rFonts w:hint="eastAsia" w:eastAsia="仿宋_GB2312"/>
          <w:sz w:val="32"/>
        </w:rPr>
        <w:t>日</w:t>
      </w:r>
    </w:p>
    <w:p>
      <w:pPr>
        <w:spacing w:line="348" w:lineRule="auto"/>
        <w:jc w:val="center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岳阳县财政局（制）</w:t>
      </w:r>
    </w:p>
    <w:p>
      <w:pPr>
        <w:spacing w:line="348" w:lineRule="auto"/>
        <w:jc w:val="center"/>
        <w:rPr>
          <w:rFonts w:eastAsia="仿宋_GB2312"/>
          <w:sz w:val="32"/>
        </w:rPr>
      </w:pPr>
    </w:p>
    <w:p>
      <w:pPr>
        <w:spacing w:line="100" w:lineRule="exact"/>
        <w:jc w:val="center"/>
        <w:rPr>
          <w:rFonts w:eastAsia="仿宋_GB2312"/>
          <w:sz w:val="32"/>
        </w:rPr>
      </w:pPr>
    </w:p>
    <w:p>
      <w:pPr>
        <w:spacing w:line="100" w:lineRule="exact"/>
        <w:jc w:val="center"/>
        <w:rPr>
          <w:rFonts w:eastAsia="仿宋_GB2312"/>
          <w:sz w:val="32"/>
        </w:rPr>
      </w:pPr>
    </w:p>
    <w:p>
      <w:pPr>
        <w:spacing w:line="100" w:lineRule="exact"/>
        <w:jc w:val="center"/>
        <w:rPr>
          <w:rFonts w:eastAsia="仿宋_GB2312"/>
          <w:sz w:val="32"/>
        </w:rPr>
      </w:pPr>
    </w:p>
    <w:tbl>
      <w:tblPr>
        <w:tblStyle w:val="6"/>
        <w:tblW w:w="95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189"/>
        <w:gridCol w:w="602"/>
        <w:gridCol w:w="118"/>
        <w:gridCol w:w="1800"/>
        <w:gridCol w:w="22"/>
        <w:gridCol w:w="392"/>
        <w:gridCol w:w="306"/>
        <w:gridCol w:w="826"/>
        <w:gridCol w:w="521"/>
        <w:gridCol w:w="297"/>
        <w:gridCol w:w="720"/>
        <w:gridCol w:w="1620"/>
        <w:gridCol w:w="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95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一、项</w:t>
            </w:r>
            <w:r>
              <w:rPr>
                <w:rFonts w:eastAsia="仿宋_GB2312"/>
                <w:b/>
                <w:sz w:val="24"/>
              </w:rPr>
              <w:t xml:space="preserve"> </w:t>
            </w:r>
            <w:r>
              <w:rPr>
                <w:rFonts w:hint="eastAsia" w:eastAsia="仿宋_GB2312"/>
                <w:b/>
                <w:sz w:val="24"/>
              </w:rPr>
              <w:t>目</w:t>
            </w:r>
            <w:r>
              <w:rPr>
                <w:rFonts w:eastAsia="仿宋_GB2312"/>
                <w:b/>
                <w:sz w:val="24"/>
              </w:rPr>
              <w:t xml:space="preserve"> </w:t>
            </w:r>
            <w:r>
              <w:rPr>
                <w:rFonts w:hint="eastAsia" w:eastAsia="仿宋_GB2312"/>
                <w:b/>
                <w:sz w:val="24"/>
              </w:rPr>
              <w:t>基</w:t>
            </w:r>
            <w:r>
              <w:rPr>
                <w:rFonts w:eastAsia="仿宋_GB2312"/>
                <w:b/>
                <w:sz w:val="24"/>
              </w:rPr>
              <w:t xml:space="preserve"> </w:t>
            </w:r>
            <w:r>
              <w:rPr>
                <w:rFonts w:hint="eastAsia" w:eastAsia="仿宋_GB2312"/>
                <w:b/>
                <w:sz w:val="24"/>
              </w:rPr>
              <w:t>本</w:t>
            </w:r>
            <w:r>
              <w:rPr>
                <w:rFonts w:eastAsia="仿宋_GB2312"/>
                <w:b/>
                <w:sz w:val="24"/>
              </w:rPr>
              <w:t xml:space="preserve"> </w:t>
            </w:r>
            <w:r>
              <w:rPr>
                <w:rFonts w:hint="eastAsia" w:eastAsia="仿宋_GB2312"/>
                <w:b/>
                <w:sz w:val="24"/>
              </w:rPr>
              <w:t>概</w:t>
            </w:r>
            <w:r>
              <w:rPr>
                <w:rFonts w:eastAsia="仿宋_GB2312"/>
                <w:b/>
                <w:sz w:val="24"/>
              </w:rPr>
              <w:t xml:space="preserve"> </w:t>
            </w:r>
            <w:r>
              <w:rPr>
                <w:rFonts w:hint="eastAsia" w:eastAsia="仿宋_GB2312"/>
                <w:b/>
                <w:sz w:val="24"/>
              </w:rPr>
              <w:t>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项目负责人</w:t>
            </w:r>
          </w:p>
        </w:tc>
        <w:tc>
          <w:tcPr>
            <w:tcW w:w="32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陈晓军</w:t>
            </w: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  <w:tc>
          <w:tcPr>
            <w:tcW w:w="3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0730-7667301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项目地址</w:t>
            </w:r>
          </w:p>
        </w:tc>
        <w:tc>
          <w:tcPr>
            <w:tcW w:w="32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荣家湾镇长丰路8号</w:t>
            </w:r>
          </w:p>
        </w:tc>
        <w:tc>
          <w:tcPr>
            <w:tcW w:w="13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邮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编</w:t>
            </w:r>
          </w:p>
        </w:tc>
        <w:tc>
          <w:tcPr>
            <w:tcW w:w="3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414100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项目起止时间</w:t>
            </w:r>
          </w:p>
        </w:tc>
        <w:tc>
          <w:tcPr>
            <w:tcW w:w="79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190" w:firstLineChars="496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2020年1月起至2020年12月止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计划安排资金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（万元）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300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实际到位资金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（万元）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300</w:t>
            </w: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实际支出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（万元）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637.14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结余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（万元）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pacing w:val="-10"/>
                <w:sz w:val="24"/>
              </w:rPr>
            </w:pPr>
            <w:r>
              <w:rPr>
                <w:rFonts w:hint="eastAsia" w:eastAsia="仿宋_GB2312"/>
                <w:spacing w:val="-10"/>
                <w:sz w:val="24"/>
              </w:rPr>
              <w:t>其中：中央财政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pacing w:val="-6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pacing w:val="-6"/>
                <w:sz w:val="24"/>
              </w:rPr>
            </w:pPr>
            <w:r>
              <w:rPr>
                <w:rFonts w:hint="eastAsia" w:eastAsia="仿宋_GB2312"/>
                <w:spacing w:val="-6"/>
                <w:sz w:val="24"/>
              </w:rPr>
              <w:t>其中：中央财政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pacing w:val="-6"/>
                <w:sz w:val="24"/>
              </w:rPr>
            </w:pP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pacing w:val="-16"/>
                <w:sz w:val="24"/>
              </w:rPr>
            </w:pPr>
            <w:r>
              <w:rPr>
                <w:rFonts w:hint="eastAsia" w:eastAsia="仿宋_GB2312"/>
                <w:spacing w:val="-16"/>
                <w:sz w:val="24"/>
              </w:rPr>
              <w:t>其中：中央财政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pacing w:val="-6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pacing w:val="-16"/>
                <w:sz w:val="24"/>
              </w:rPr>
            </w:pPr>
            <w:r>
              <w:rPr>
                <w:rFonts w:hint="eastAsia" w:eastAsia="仿宋_GB2312"/>
                <w:spacing w:val="-16"/>
                <w:sz w:val="24"/>
              </w:rPr>
              <w:t>其中：中央财政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省财政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省财政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省财政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省财政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市财政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市财政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市财政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市财政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县财政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300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县财政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300</w:t>
            </w: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县财政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637.14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县财政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其它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其它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其它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其它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95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二、项目支出明细情况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支出内容</w:t>
            </w: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实际支出数</w:t>
            </w:r>
          </w:p>
        </w:tc>
        <w:tc>
          <w:tcPr>
            <w:tcW w:w="23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会计凭证号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省级食品安全示范县创建专项</w:t>
            </w: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637.14万元</w:t>
            </w:r>
          </w:p>
        </w:tc>
        <w:tc>
          <w:tcPr>
            <w:tcW w:w="23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sz w:val="24"/>
              </w:rPr>
              <w:t>支出合计</w:t>
            </w: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sz w:val="24"/>
              </w:rPr>
              <w:t>637.14万元</w:t>
            </w:r>
          </w:p>
        </w:tc>
        <w:tc>
          <w:tcPr>
            <w:tcW w:w="23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95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三、项目绩效自评情况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项目绩效定性目标及实施计划完成情况</w:t>
            </w:r>
          </w:p>
        </w:tc>
        <w:tc>
          <w:tcPr>
            <w:tcW w:w="507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预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期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目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标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实际完成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  <w:jc w:val="center"/>
        </w:trPr>
        <w:tc>
          <w:tcPr>
            <w:tcW w:w="14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507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通过以点带面、示范引领，促进食品产业健康发展，推动我县食品安全整体形势持续稳定向好，人民群众对食品安全的满意度明显提升。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所有预期目标全部顺利完成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exact"/>
          <w:jc w:val="center"/>
        </w:trPr>
        <w:tc>
          <w:tcPr>
            <w:tcW w:w="14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项目绩效定量目标（指标）及完成情况</w:t>
            </w:r>
          </w:p>
        </w:tc>
        <w:tc>
          <w:tcPr>
            <w:tcW w:w="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一级指标</w:t>
            </w: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二级指标</w:t>
            </w:r>
          </w:p>
        </w:tc>
        <w:tc>
          <w:tcPr>
            <w:tcW w:w="15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指标内容</w:t>
            </w: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指标（目标）值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实际完成值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14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0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项目产出指标</w:t>
            </w: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数量指标</w:t>
            </w:r>
          </w:p>
        </w:tc>
        <w:tc>
          <w:tcPr>
            <w:tcW w:w="15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食品抽检</w:t>
            </w: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2233批次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2247批次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exact"/>
          <w:jc w:val="center"/>
        </w:trPr>
        <w:tc>
          <w:tcPr>
            <w:tcW w:w="14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0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质量指标</w:t>
            </w:r>
          </w:p>
        </w:tc>
        <w:tc>
          <w:tcPr>
            <w:tcW w:w="15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创建省级食品安全示范县</w:t>
            </w: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验收合格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exact"/>
          <w:jc w:val="center"/>
        </w:trPr>
        <w:tc>
          <w:tcPr>
            <w:tcW w:w="14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0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时效指标</w:t>
            </w:r>
          </w:p>
        </w:tc>
        <w:tc>
          <w:tcPr>
            <w:tcW w:w="15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任务完成时间</w:t>
            </w: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年底前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  <w:jc w:val="center"/>
        </w:trPr>
        <w:tc>
          <w:tcPr>
            <w:tcW w:w="14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0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成本指标</w:t>
            </w:r>
          </w:p>
        </w:tc>
        <w:tc>
          <w:tcPr>
            <w:tcW w:w="15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任务完成成本</w:t>
            </w: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300万元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637.14万元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exact"/>
          <w:jc w:val="center"/>
        </w:trPr>
        <w:tc>
          <w:tcPr>
            <w:tcW w:w="14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0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项目效益指标</w:t>
            </w: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经济效益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指标</w:t>
            </w:r>
          </w:p>
        </w:tc>
        <w:tc>
          <w:tcPr>
            <w:tcW w:w="15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确保全县食品安全，推动县域经济又好又快发展。</w:t>
            </w: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100%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exact"/>
          <w:jc w:val="center"/>
        </w:trPr>
        <w:tc>
          <w:tcPr>
            <w:tcW w:w="14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0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社会效益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指标</w:t>
            </w:r>
          </w:p>
        </w:tc>
        <w:tc>
          <w:tcPr>
            <w:tcW w:w="15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促进食品产业健康发展</w:t>
            </w: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100%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exact"/>
          <w:jc w:val="center"/>
        </w:trPr>
        <w:tc>
          <w:tcPr>
            <w:tcW w:w="14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0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生态效益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指标</w:t>
            </w:r>
          </w:p>
        </w:tc>
        <w:tc>
          <w:tcPr>
            <w:tcW w:w="15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食品安全市场巡查监管率</w:t>
            </w: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100%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exact"/>
          <w:jc w:val="center"/>
        </w:trPr>
        <w:tc>
          <w:tcPr>
            <w:tcW w:w="14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90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服务对象满意度指标</w:t>
            </w:r>
          </w:p>
        </w:tc>
        <w:tc>
          <w:tcPr>
            <w:tcW w:w="15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社会公众满意度</w:t>
            </w: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≥95%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绩效自评综合得分</w:t>
            </w:r>
          </w:p>
        </w:tc>
        <w:tc>
          <w:tcPr>
            <w:tcW w:w="72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2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评价等次</w:t>
            </w:r>
          </w:p>
        </w:tc>
        <w:tc>
          <w:tcPr>
            <w:tcW w:w="72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5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四、评价人员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23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职称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hint="eastAsia" w:eastAsia="仿宋_GB2312"/>
                <w:sz w:val="24"/>
              </w:rPr>
              <w:t>职务</w:t>
            </w:r>
          </w:p>
        </w:tc>
        <w:tc>
          <w:tcPr>
            <w:tcW w:w="1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位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冯小兰</w:t>
            </w:r>
          </w:p>
        </w:tc>
        <w:tc>
          <w:tcPr>
            <w:tcW w:w="23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副局长</w:t>
            </w:r>
          </w:p>
        </w:tc>
        <w:tc>
          <w:tcPr>
            <w:tcW w:w="1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党组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李西兵</w:t>
            </w:r>
          </w:p>
        </w:tc>
        <w:tc>
          <w:tcPr>
            <w:tcW w:w="23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副局长</w:t>
            </w:r>
          </w:p>
        </w:tc>
        <w:tc>
          <w:tcPr>
            <w:tcW w:w="1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党组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李育军</w:t>
            </w:r>
          </w:p>
        </w:tc>
        <w:tc>
          <w:tcPr>
            <w:tcW w:w="23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副局长</w:t>
            </w:r>
          </w:p>
        </w:tc>
        <w:tc>
          <w:tcPr>
            <w:tcW w:w="1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党组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李小叶</w:t>
            </w:r>
          </w:p>
        </w:tc>
        <w:tc>
          <w:tcPr>
            <w:tcW w:w="23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主任</w:t>
            </w:r>
          </w:p>
        </w:tc>
        <w:tc>
          <w:tcPr>
            <w:tcW w:w="1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办公室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周林霞</w:t>
            </w:r>
          </w:p>
        </w:tc>
        <w:tc>
          <w:tcPr>
            <w:tcW w:w="23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股长</w:t>
            </w:r>
          </w:p>
        </w:tc>
        <w:tc>
          <w:tcPr>
            <w:tcW w:w="1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财务股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许元爱</w:t>
            </w:r>
          </w:p>
        </w:tc>
        <w:tc>
          <w:tcPr>
            <w:tcW w:w="23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股长</w:t>
            </w:r>
          </w:p>
        </w:tc>
        <w:tc>
          <w:tcPr>
            <w:tcW w:w="1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人事股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赵光新</w:t>
            </w:r>
          </w:p>
        </w:tc>
        <w:tc>
          <w:tcPr>
            <w:tcW w:w="23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主任</w:t>
            </w:r>
          </w:p>
        </w:tc>
        <w:tc>
          <w:tcPr>
            <w:tcW w:w="1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机关纪委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蒋湘君</w:t>
            </w:r>
          </w:p>
        </w:tc>
        <w:tc>
          <w:tcPr>
            <w:tcW w:w="23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会计</w:t>
            </w:r>
          </w:p>
        </w:tc>
        <w:tc>
          <w:tcPr>
            <w:tcW w:w="1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财务股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  <w:jc w:val="center"/>
        </w:trPr>
        <w:tc>
          <w:tcPr>
            <w:tcW w:w="95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评价组组长（签字）：</w:t>
            </w:r>
            <w:r>
              <w:rPr>
                <w:rFonts w:eastAsia="仿宋_GB2312"/>
                <w:sz w:val="24"/>
              </w:rPr>
              <w:t xml:space="preserve">         </w:t>
            </w:r>
          </w:p>
          <w:p>
            <w:pPr>
              <w:spacing w:line="440" w:lineRule="exact"/>
              <w:rPr>
                <w:rFonts w:eastAsia="仿宋_GB2312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              </w:t>
            </w:r>
          </w:p>
          <w:p>
            <w:pPr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     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  <w:jc w:val="center"/>
        </w:trPr>
        <w:tc>
          <w:tcPr>
            <w:tcW w:w="95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项目单位意见：</w:t>
            </w:r>
          </w:p>
          <w:p>
            <w:pPr>
              <w:spacing w:line="440" w:lineRule="exact"/>
              <w:rPr>
                <w:rFonts w:eastAsia="仿宋_GB2312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  </w:t>
            </w:r>
          </w:p>
          <w:p>
            <w:pPr>
              <w:spacing w:line="440" w:lineRule="exact"/>
              <w:rPr>
                <w:rFonts w:eastAsia="仿宋_GB2312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项目单位负责人（签章）：</w:t>
            </w:r>
          </w:p>
          <w:p>
            <w:pPr>
              <w:spacing w:line="440" w:lineRule="exact"/>
              <w:rPr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    </w:t>
            </w: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6" w:hRule="atLeast"/>
          <w:jc w:val="center"/>
        </w:trPr>
        <w:tc>
          <w:tcPr>
            <w:tcW w:w="958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主管部门意见：</w:t>
            </w:r>
          </w:p>
          <w:p>
            <w:pPr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</w:t>
            </w:r>
          </w:p>
          <w:p>
            <w:pPr>
              <w:spacing w:line="440" w:lineRule="exact"/>
              <w:rPr>
                <w:rFonts w:eastAsia="仿宋_GB2312"/>
                <w:sz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                                     </w:t>
            </w:r>
          </w:p>
          <w:p>
            <w:pPr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主管部门负责人（签章）：</w:t>
            </w:r>
          </w:p>
          <w:p>
            <w:pPr>
              <w:spacing w:line="440" w:lineRule="exact"/>
              <w:rPr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    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</w:tbl>
    <w:p>
      <w:pPr>
        <w:rPr>
          <w:rFonts w:eastAsia="仿宋_GB2312" w:cs="仿宋_GB2312"/>
          <w:bCs/>
          <w:sz w:val="28"/>
          <w:szCs w:val="28"/>
        </w:rPr>
      </w:pPr>
      <w:r>
        <w:rPr>
          <w:rFonts w:hint="eastAsia" w:eastAsia="仿宋_GB2312" w:cs="仿宋_GB2312"/>
          <w:bCs/>
          <w:sz w:val="28"/>
          <w:szCs w:val="28"/>
        </w:rPr>
        <w:t>填报人（签名）：</w:t>
      </w:r>
      <w:r>
        <w:rPr>
          <w:rFonts w:eastAsia="仿宋_GB2312" w:cs="仿宋_GB2312"/>
          <w:bCs/>
          <w:sz w:val="28"/>
          <w:szCs w:val="28"/>
        </w:rPr>
        <w:t xml:space="preserve">  </w:t>
      </w:r>
      <w:r>
        <w:rPr>
          <w:rFonts w:hint="eastAsia" w:eastAsia="仿宋_GB2312" w:cs="仿宋_GB2312"/>
          <w:bCs/>
          <w:sz w:val="28"/>
          <w:szCs w:val="28"/>
        </w:rPr>
        <w:t>蒋湘君</w:t>
      </w:r>
      <w:r>
        <w:rPr>
          <w:rFonts w:eastAsia="仿宋_GB2312" w:cs="仿宋_GB2312"/>
          <w:bCs/>
          <w:sz w:val="28"/>
          <w:szCs w:val="28"/>
        </w:rPr>
        <w:t xml:space="preserve">                </w:t>
      </w:r>
      <w:r>
        <w:rPr>
          <w:rFonts w:hint="eastAsia" w:eastAsia="仿宋_GB2312" w:cs="仿宋_GB2312"/>
          <w:bCs/>
          <w:sz w:val="28"/>
          <w:szCs w:val="28"/>
        </w:rPr>
        <w:t>联系电话：0730-7667328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8" w:hRule="atLeast"/>
          <w:jc w:val="center"/>
        </w:trPr>
        <w:tc>
          <w:tcPr>
            <w:tcW w:w="9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eastAsia="仿宋_GB2312"/>
                <w:b/>
                <w:bCs/>
                <w:sz w:val="28"/>
                <w:szCs w:val="28"/>
              </w:rPr>
              <w:t>五、评价报告综述（文字部分）</w:t>
            </w:r>
          </w:p>
          <w:p>
            <w:pPr>
              <w:spacing w:line="440" w:lineRule="exact"/>
              <w:ind w:firstLine="640" w:firstLineChars="200"/>
              <w:rPr>
                <w:rFonts w:eastAsia="仿宋_GB2312"/>
                <w:sz w:val="32"/>
                <w:szCs w:val="32"/>
              </w:rPr>
            </w:pPr>
          </w:p>
          <w:p>
            <w:pPr>
              <w:spacing w:line="560" w:lineRule="exact"/>
              <w:ind w:firstLine="600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（一）项目基本概况</w:t>
            </w:r>
          </w:p>
          <w:p>
            <w:pPr>
              <w:spacing w:line="560" w:lineRule="exact"/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项目单位基本情况：按照职能调整及新组建的单位职能职责要求，我局承担着全县市场综合监管、市场主体统一登记注册、市场监管综合执法、市场秩序监管、产品质量安全监管、特种设备安全监管、药械化安全监管、食品安全监管、计量监管、标准实施监管、检验检测、认证认可、知识产权保护、消费维权等重要职能职责。我局下设26个内设机构、6个二级机构、 18个派出机构。</w:t>
            </w:r>
          </w:p>
          <w:p>
            <w:pPr>
              <w:pStyle w:val="19"/>
              <w:ind w:firstLine="675" w:firstLineChars="225"/>
              <w:outlineLvl w:val="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项目绩效目标：通过以点带面、示范引领，促进食品产业健康发展，推动我县食品安全整体形势持续稳定向好，人民群众对食品安全的满意度明显提升。</w:t>
            </w:r>
          </w:p>
          <w:p>
            <w:pPr>
              <w:spacing w:line="560" w:lineRule="exact"/>
              <w:ind w:firstLine="600" w:firstLineChars="200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（二）项目资金使用及管理情况</w:t>
            </w:r>
          </w:p>
          <w:p>
            <w:pPr>
              <w:widowControl/>
              <w:spacing w:line="360" w:lineRule="auto"/>
              <w:ind w:firstLine="600" w:firstLineChars="200"/>
              <w:rPr>
                <w:rFonts w:ascii="仿宋" w:hAnsi="仿宋" w:eastAsia="仿宋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30"/>
                <w:szCs w:val="30"/>
              </w:rPr>
              <w:t>2020年度，财政共计下拨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省级食品安全示范县创建专项</w:t>
            </w:r>
            <w:r>
              <w:rPr>
                <w:rFonts w:hint="eastAsia" w:ascii="仿宋" w:hAnsi="仿宋" w:eastAsia="仿宋" w:cs="仿宋_GB2312"/>
                <w:color w:val="000000"/>
                <w:sz w:val="30"/>
                <w:szCs w:val="30"/>
              </w:rPr>
              <w:t>资金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300</w:t>
            </w:r>
            <w:r>
              <w:rPr>
                <w:rFonts w:hint="eastAsia" w:ascii="仿宋" w:hAnsi="仿宋" w:eastAsia="仿宋" w:cs="仿宋_GB2312"/>
                <w:color w:val="000000"/>
                <w:sz w:val="30"/>
                <w:szCs w:val="30"/>
              </w:rPr>
              <w:t>万元。</w:t>
            </w:r>
          </w:p>
          <w:p>
            <w:pPr>
              <w:widowControl/>
              <w:spacing w:line="360" w:lineRule="auto"/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2020年度，我局共计支付省级食品安全示范县创建专项</w:t>
            </w:r>
            <w:r>
              <w:rPr>
                <w:rFonts w:hint="eastAsia" w:ascii="仿宋" w:hAnsi="仿宋" w:eastAsia="仿宋" w:cs="仿宋_GB2312"/>
                <w:color w:val="000000"/>
                <w:sz w:val="30"/>
                <w:szCs w:val="30"/>
              </w:rPr>
              <w:t>资金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637.14万元。</w:t>
            </w:r>
          </w:p>
          <w:p>
            <w:pPr>
              <w:widowControl/>
              <w:spacing w:line="360" w:lineRule="auto"/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在项目资金使用管理上，我们一直按照国家财经法规和内部财务管理制度的规定开支。资金结付有完整的审批程序和手续，按照财经制度的有关要求，做到专款专用，专人保管，单位分管领导对资金的使用进行全程监督，保证资金使用的合规性。资金使用无截留、挤占、挪用、虚列支出等情况。相关发票由财务室审核后，再由主要负责人签字同意报账后方可结算。</w:t>
            </w:r>
          </w:p>
          <w:p>
            <w:pPr>
              <w:spacing w:line="560" w:lineRule="exact"/>
              <w:ind w:firstLine="600" w:firstLineChars="200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（三）项目组织实施情况</w:t>
            </w:r>
          </w:p>
          <w:p>
            <w:pPr>
              <w:ind w:firstLine="635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筑牢基层基础，夯实“四有两责”：强化食品安全责任；健全监管体制机制；大力提升基层执法能力。</w:t>
            </w:r>
          </w:p>
          <w:p>
            <w:pPr>
              <w:ind w:firstLine="635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深化全程治理，提升监管效能；加大源头治理力度；加大食品生产经营环节治理力度；加大稽查执法力度。</w:t>
            </w:r>
          </w:p>
          <w:p>
            <w:pPr>
              <w:ind w:firstLine="635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聚焦问题隐患，创新监管举措：加大抽检检测力度；构建全程追溯体系；强化风险管控；开展“双安双创”活动。</w:t>
            </w:r>
          </w:p>
          <w:p>
            <w:pPr>
              <w:ind w:firstLine="635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坚持多元参与，构建共治格局：加大社会参与力度；加大宣传力度；加大信息公开力度。</w:t>
            </w:r>
          </w:p>
          <w:p>
            <w:pPr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加强综合协调，助推产业发展：强化考核问责；推动产业转型升级；优化产业发展环境。</w:t>
            </w:r>
          </w:p>
          <w:p>
            <w:pPr>
              <w:spacing w:line="560" w:lineRule="exact"/>
              <w:ind w:firstLine="600" w:firstLineChars="200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（四）综合评价情况及评价结论</w:t>
            </w:r>
          </w:p>
          <w:p>
            <w:pPr>
              <w:spacing w:line="560" w:lineRule="exact"/>
              <w:ind w:firstLine="600" w:firstLineChars="200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2020年我局省级食品安全示范县创建项目支出绩效自评综合得分为98分，评价等次为优秀。</w:t>
            </w:r>
          </w:p>
          <w:p>
            <w:pPr>
              <w:spacing w:line="560" w:lineRule="exact"/>
              <w:ind w:firstLine="600" w:firstLineChars="200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（五）项目主要绩效情况分析</w:t>
            </w:r>
          </w:p>
          <w:p>
            <w:pPr>
              <w:spacing w:line="560" w:lineRule="exact"/>
              <w:ind w:firstLine="588" w:firstLineChars="196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2020年度，我局坚决履行职能职责，食省级食品安全示范县创建专项绩效成绩突出，主要绩效如下：</w:t>
            </w:r>
          </w:p>
          <w:p>
            <w:pPr>
              <w:spacing w:line="560" w:lineRule="exact"/>
              <w:ind w:firstLine="588" w:firstLineChars="196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示范创建有序推进。我股室承担创建指挥部的日常工作，积极践行“四个最严”，统筹推进全县食品安全示范县创建工作，扎实开展省级食品安全示范县创建工作，强化监管、健全机制、狠抓落实、补齐短板，下发了文件，筹办召开7次会议，目前全县的创建工作取得了显著成效。</w:t>
            </w:r>
          </w:p>
          <w:p>
            <w:pPr>
              <w:spacing w:line="560" w:lineRule="exact"/>
              <w:ind w:firstLine="588" w:firstLineChars="196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食品抽检落实有力。为确保人民群众健康安全，我股室坚持问题导向，聚焦群众关切，突出农兽药残留、重金属、生物毒素等重点指标，重点抽取风险程度高、合格率较低及消费量较大、近年来监管工作中发现问题较多的食品品种，提高问题发现率。同时，深入15个乡镇市场进行采样，重点对蔬菜水果农药残留、有机磷及氨基甲酸酯类等项目进行检测。通过农批市场自检与快检抽查相结合，双管齐下形成二次监督，对农产品质量进行全面把关。目前共抽样检测各类食品947批次，食品不合格27批次，合格率98.2%；食用农产品1300批次，不合格率10批次，合格率99.2%，不合格产品均已下架销毁，防止其流入市场和餐桌。</w:t>
            </w:r>
          </w:p>
          <w:p>
            <w:pPr>
              <w:spacing w:line="560" w:lineRule="exact"/>
              <w:ind w:firstLine="588" w:firstLineChars="196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明厨亮灶凸显成效。启动餐饮业“明厨亮灶”“互联网+”升级提质，升级后的明厨亮灶通过“互联网+”监管模式，建立企业资质查询、食品原料安全信息跟踪和追溯、监管部门检查记录于一体的远程可视系统。实现通过二维码扫码、视频数据导入、监管数据并联使监管同步追踪，信息不延迟、不漏报，操作电子化、信息化，监管便捷化、简单化。预计年底前基本实现全县中小学和幼儿园全覆盖，大中型餐饮覆盖率达50%以上。</w:t>
            </w:r>
          </w:p>
          <w:p>
            <w:pPr>
              <w:spacing w:line="560" w:lineRule="exact"/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（六）主要经验及做法、存在问题和建议</w:t>
            </w:r>
          </w:p>
          <w:p>
            <w:pPr>
              <w:spacing w:line="560" w:lineRule="exact"/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1、主要经验及做法</w:t>
            </w:r>
          </w:p>
          <w:p>
            <w:pPr>
              <w:spacing w:line="560" w:lineRule="exact"/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抓宣传引导，促安全意识。做好宣传工作，下发了《岳阳县创建省级食品安全示范县宣传方案》（岳县食安办〔2020〕5号）、《关于转发省食安办《关于做好野生蘑菇中毒防控工作的通知》的通知》（岳县食安办〔2020〕2号）等文件，拍摄创建省级食品安全示范县宣传片1部，在进城各大路口设置大型宣传广告牌60余个，联合宣传部在主要交通干道、花坛等地设置宣传标语、宣传栏200余个，编写并发放《岳阳县食品安全系列知识读本》、创建食品安全示范县倡议书等宣传资料2余万份。利用重要节点组织开展食品安全宣传进机关、进农村、进社区、进学校、进企业的“五进”主题宣传活动，印发了《关于做好野生蘑菇中毒防控工作的通知》，在县域主流媒体刊发相关知识、播放公益视频、播放电视飞字等，设立警示牌60余块，张贴野生毒蘑菇宣传画200余张，悬挂标语100余条，电子警示标语200余条；开展其他各类集中宣传200余次，发放食品类资料1余万份，在电视、报纸等传统媒体及网站、短信、微信公众号等新媒体发布各类宣传300余篇，编制食品安全宣传短信200余万条。同时，通过线上、线下相结合的方式，对全县600余名食品安全管理人员、食品从业人员等进行培训，培训人员参加食品安全培训不少于40学时，参加线下培训的由专家或教授授课，有力强化了食品从业人员和执法者的法律意识、责任意识和风险意识。</w:t>
            </w:r>
          </w:p>
          <w:p>
            <w:pPr>
              <w:spacing w:line="560" w:lineRule="exact"/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抓百日行动，促监管常态。在全县范围内开展食品安全大排查大整治百日行动，各责任股室队所牢固树立大局意识，突出“四类重点”，以投诉举报较多企业、被查处的问题多发企业、影响面广的大宗商品、风险较高环节、群众关注重点领域为重点，依法依规对辖区食品生产经营主体结合日常检查、飞行检查、体系检查，对食品安全风险隐患进行全面清查和整顿；专门成立食品安全督查小组，分组分队分片区，对下设18个基层市场所，11个相关责任股室开展专项督查工作，发现问题，及时整改。食品生产经营单位提交自查报告698份，自查发现问题72个，整改问题70个。检查食品生产经营主体2918家次，其中，食品生产主体262家次，食品经营主体2420户，特殊食品及食盐经营主体236家次；重点企业体检式帮扶3家。排查食品安全风险隐患302个，现场检查共发现问题215个，下达责令整改书196份。共立案查处55件，约谈5家食品生产经营企业，查处了罗德模销售有毒有害食品案等一系列大案。</w:t>
            </w:r>
          </w:p>
          <w:p>
            <w:pPr>
              <w:spacing w:line="560" w:lineRule="exact"/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抓示范准备，促验收成功。一是做好迎检验收的资料收集和整合，在收集过程中存在的问题进行整改，进一步完善创建资料，查漏补缺。二是做好创建自查自评工作和社会公示，对照《湖南省创建食品安全示范县市区评价细则（2019版）》，逐条对创建工作开展情况进行自评，并得出自评结果，总结工作亮点及不足。自评合格后，在政府官网、主要媒体、官方公众号等平台向社会公示。三是根据创建工作完成情况，制作创建省级食品安全示范县汇报PPT，拍摄食品安全创建宣传片，制作岳阳县创建省级食品安全示范县“工作大事件”宣传册，展现岳阳县创建工作的重点和亮点。四是做好民调宣传工作，统计了解当前各单位民调宣传情况，要求各成员单位、各乡镇进一步做好宣传工作。五是做好创建省级食品安全食品示范县评价验收现场查验迎检工作，对拟设定示范创建评价验收现场查验点，进行逐一安排，高度重视、落实责任，确保迎检验收顺利通过。</w:t>
            </w:r>
          </w:p>
          <w:p>
            <w:pPr>
              <w:spacing w:line="560" w:lineRule="exact"/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抓考核督导，促食安成效。为确保考核工作的有效落实，年初制定并下发了《2020年岳阳县食品安全工作评议考核方案》（岳县食安委〔2020〕2号），7月份对食安委成员单位以及各乡镇进行了半年工作督查，目前正开展年终考核。</w:t>
            </w:r>
          </w:p>
          <w:p>
            <w:pPr>
              <w:spacing w:line="560" w:lineRule="exact"/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2、存在的问题</w:t>
            </w:r>
          </w:p>
          <w:p>
            <w:pPr>
              <w:spacing w:line="560" w:lineRule="exact"/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食品安全意识不足。生产经营和消费安全意识不强。食品生产经营者责任意识有所欠缺，部分食品生产经营业主和从业人员，尤其是小作坊、小餐饮、小食品店和流动摊，法律意识淡薄，主体责任落实不够，安全措施投入不足，环境卫生脏乱差，易引发食品安全事故。消费者防范意识还需提升，广大消费者在监督食品安全和自我保护防范方面认识不够，意识不强。一些消费者面对食品安全问题时，往往缺乏主动和依法维权意识。</w:t>
            </w:r>
          </w:p>
          <w:p>
            <w:pPr>
              <w:spacing w:line="560" w:lineRule="exact"/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人员素质参差不齐。食品线队伍呈现年龄严重老化，知识结构不优，整体业务水平偏低，存在“青黄不接”现象。同时，在岗公务员大多数是老工商合并人员，无论是政治素质，还是业务素质，文化素质，还有相当一部分人存在着不适应，难适应，一些人不会办案，不会电脑操作，不会公文写作，不会市场监管，特别是食品安全感到压力大。</w:t>
            </w:r>
          </w:p>
          <w:p>
            <w:pPr>
              <w:spacing w:line="560" w:lineRule="exact"/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3、下一步工作计划</w:t>
            </w:r>
          </w:p>
          <w:p>
            <w:pPr>
              <w:spacing w:line="560" w:lineRule="exact"/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进一步加强食品整治。要加强统筹调度、沟通联络和信息通报，充分履职履责。要通力合作、协同作战，组织对全县食品生产经营单位进行全面排查整治，结合食品安全放心工程“十二大攻坚行动”，做好“护苗”、“护老”、“网剑”、“三小”、“双安双创”、农村假冒伪劣食品治理、餐饮业质量安全提升、食品生产和婴幼儿配方乳粉质量提升工作。同时，组织开展专项督促检查，对工作不力、失职渎职、弄虚作假的行为进行严肃问责。</w:t>
            </w:r>
          </w:p>
          <w:p>
            <w:pPr>
              <w:spacing w:line="560" w:lineRule="exact"/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进一步加强抽检工作。进一步加强食品安全监督抽检工作，加强组织领导，严格按照下一年年初的抽检计划制定了各自的具体工作实施方案，及时部署抽检工作，均衡安排抽检任务，并根据分配批次和检测品种、项目认真编报了抽检计划，做好国抽系统的食品抽检公示及录入。</w:t>
            </w:r>
          </w:p>
          <w:p>
            <w:pPr>
              <w:spacing w:line="560" w:lineRule="exact"/>
              <w:ind w:firstLine="600" w:firstLineChars="200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进一步强化宣传引导。充分发挥舆论导向作用，充分发挥报纸、广播、电视、微信、微博等媒体作用，全方位、多角度宣传创建工作举措、进展及成效，积极听取吸纳群众意见，深入开展食品安全知识普及和政策法规宣传活动，建立健全舆情监测处置体系，对食品安全舆情事件第一时间发声，通过扎实工作和强力宣传双管齐下，让食品安全和创建深入人心，增加人民群众的参与感、获得感，真正提高群众的知晓率、支持率和满意度，切实营造良好的创建氛围。</w:t>
            </w:r>
          </w:p>
        </w:tc>
      </w:tr>
    </w:tbl>
    <w:p>
      <w:pPr>
        <w:rPr>
          <w:rFonts w:eastAsia="仿宋_GB2312"/>
          <w:sz w:val="32"/>
        </w:rPr>
      </w:pPr>
      <w:r>
        <w:rPr>
          <w:rFonts w:eastAsia="仿宋_GB2312"/>
          <w:sz w:val="32"/>
        </w:rPr>
        <w:t xml:space="preserve"> </w:t>
      </w:r>
    </w:p>
    <w:p>
      <w:pPr>
        <w:adjustRightInd w:val="0"/>
        <w:snapToGrid w:val="0"/>
        <w:spacing w:line="200" w:lineRule="exact"/>
        <w:jc w:val="left"/>
        <w:rPr>
          <w:rFonts w:eastAsia="仿宋_GB2312"/>
          <w:sz w:val="32"/>
        </w:rPr>
      </w:pPr>
    </w:p>
    <w:sectPr>
      <w:pgSz w:w="11906" w:h="16838"/>
      <w:pgMar w:top="1418" w:right="1361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F"/>
    <w:multiLevelType w:val="singleLevel"/>
    <w:tmpl w:val="FFFFFF7F"/>
    <w:lvl w:ilvl="0" w:tentative="0">
      <w:start w:val="1"/>
      <w:numFmt w:val="decimal"/>
      <w:pStyle w:val="16"/>
      <w:lvlText w:val="%1."/>
      <w:lvlJc w:val="left"/>
      <w:pPr>
        <w:tabs>
          <w:tab w:val="left" w:pos="780"/>
        </w:tabs>
        <w:ind w:left="7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E0MWNlOTUzOTJhMzM5ZmY3M2Q1YWQ0NjdkYjdmZTkifQ=="/>
  </w:docVars>
  <w:rsids>
    <w:rsidRoot w:val="00C854FD"/>
    <w:rsid w:val="0000241F"/>
    <w:rsid w:val="000056A6"/>
    <w:rsid w:val="00005A3B"/>
    <w:rsid w:val="0000610C"/>
    <w:rsid w:val="00011F57"/>
    <w:rsid w:val="00014921"/>
    <w:rsid w:val="0001643A"/>
    <w:rsid w:val="0005701C"/>
    <w:rsid w:val="00073AAF"/>
    <w:rsid w:val="00090417"/>
    <w:rsid w:val="00093B20"/>
    <w:rsid w:val="000A0E5C"/>
    <w:rsid w:val="000B4BEB"/>
    <w:rsid w:val="000B7DCB"/>
    <w:rsid w:val="00100175"/>
    <w:rsid w:val="00105F96"/>
    <w:rsid w:val="00107CC6"/>
    <w:rsid w:val="00122C2E"/>
    <w:rsid w:val="0014350A"/>
    <w:rsid w:val="001442A2"/>
    <w:rsid w:val="00146C23"/>
    <w:rsid w:val="00151B82"/>
    <w:rsid w:val="00157862"/>
    <w:rsid w:val="00165E89"/>
    <w:rsid w:val="0017192D"/>
    <w:rsid w:val="001A21D5"/>
    <w:rsid w:val="001A709B"/>
    <w:rsid w:val="001B0CF4"/>
    <w:rsid w:val="001B1869"/>
    <w:rsid w:val="001B2F7F"/>
    <w:rsid w:val="001B4EA7"/>
    <w:rsid w:val="001C4AD7"/>
    <w:rsid w:val="001C5954"/>
    <w:rsid w:val="001E26FB"/>
    <w:rsid w:val="001F2104"/>
    <w:rsid w:val="002318F0"/>
    <w:rsid w:val="002350AD"/>
    <w:rsid w:val="00235B3A"/>
    <w:rsid w:val="00240F9A"/>
    <w:rsid w:val="00242262"/>
    <w:rsid w:val="0024529C"/>
    <w:rsid w:val="00253B1F"/>
    <w:rsid w:val="00254CF8"/>
    <w:rsid w:val="00255404"/>
    <w:rsid w:val="00257206"/>
    <w:rsid w:val="00292AC1"/>
    <w:rsid w:val="0029605B"/>
    <w:rsid w:val="002969D6"/>
    <w:rsid w:val="002B26F1"/>
    <w:rsid w:val="002B569D"/>
    <w:rsid w:val="002B7EF4"/>
    <w:rsid w:val="002C4D24"/>
    <w:rsid w:val="002D2F26"/>
    <w:rsid w:val="002D5840"/>
    <w:rsid w:val="002F54CC"/>
    <w:rsid w:val="00315C29"/>
    <w:rsid w:val="00321D2B"/>
    <w:rsid w:val="0033659F"/>
    <w:rsid w:val="00351AD3"/>
    <w:rsid w:val="00354479"/>
    <w:rsid w:val="00356458"/>
    <w:rsid w:val="00363F03"/>
    <w:rsid w:val="0039290C"/>
    <w:rsid w:val="00392F62"/>
    <w:rsid w:val="00394BC2"/>
    <w:rsid w:val="003A2363"/>
    <w:rsid w:val="003A2FC5"/>
    <w:rsid w:val="003B7876"/>
    <w:rsid w:val="003E4F5E"/>
    <w:rsid w:val="004014CE"/>
    <w:rsid w:val="004036B5"/>
    <w:rsid w:val="004167AB"/>
    <w:rsid w:val="004222D1"/>
    <w:rsid w:val="00422E14"/>
    <w:rsid w:val="00430153"/>
    <w:rsid w:val="00432C79"/>
    <w:rsid w:val="004503BD"/>
    <w:rsid w:val="00461395"/>
    <w:rsid w:val="00477933"/>
    <w:rsid w:val="004A1CEA"/>
    <w:rsid w:val="004A44EA"/>
    <w:rsid w:val="004A51DC"/>
    <w:rsid w:val="004A671C"/>
    <w:rsid w:val="004C73DE"/>
    <w:rsid w:val="004E0A8E"/>
    <w:rsid w:val="004E3BE9"/>
    <w:rsid w:val="005072C9"/>
    <w:rsid w:val="00513037"/>
    <w:rsid w:val="005210E6"/>
    <w:rsid w:val="00530E15"/>
    <w:rsid w:val="005314BA"/>
    <w:rsid w:val="005422E5"/>
    <w:rsid w:val="0054679D"/>
    <w:rsid w:val="005477E5"/>
    <w:rsid w:val="00566F17"/>
    <w:rsid w:val="005865B1"/>
    <w:rsid w:val="00595657"/>
    <w:rsid w:val="005A3532"/>
    <w:rsid w:val="005B4076"/>
    <w:rsid w:val="005C50B2"/>
    <w:rsid w:val="005C68D7"/>
    <w:rsid w:val="005F6DB6"/>
    <w:rsid w:val="00607401"/>
    <w:rsid w:val="006320B1"/>
    <w:rsid w:val="0064544F"/>
    <w:rsid w:val="00664E76"/>
    <w:rsid w:val="006841C9"/>
    <w:rsid w:val="00684E4B"/>
    <w:rsid w:val="00696545"/>
    <w:rsid w:val="006A5D82"/>
    <w:rsid w:val="006B399B"/>
    <w:rsid w:val="006B6330"/>
    <w:rsid w:val="006D65AD"/>
    <w:rsid w:val="006E42AE"/>
    <w:rsid w:val="006E7307"/>
    <w:rsid w:val="006F5735"/>
    <w:rsid w:val="006F5FD4"/>
    <w:rsid w:val="007225D2"/>
    <w:rsid w:val="00735258"/>
    <w:rsid w:val="00742DAE"/>
    <w:rsid w:val="00764B34"/>
    <w:rsid w:val="00774D83"/>
    <w:rsid w:val="007829F0"/>
    <w:rsid w:val="007865A2"/>
    <w:rsid w:val="007C77EE"/>
    <w:rsid w:val="007D5B9F"/>
    <w:rsid w:val="007E1392"/>
    <w:rsid w:val="007E6513"/>
    <w:rsid w:val="007F476E"/>
    <w:rsid w:val="007F487F"/>
    <w:rsid w:val="00810D39"/>
    <w:rsid w:val="00815FBF"/>
    <w:rsid w:val="00841CD0"/>
    <w:rsid w:val="00847D60"/>
    <w:rsid w:val="00860AFD"/>
    <w:rsid w:val="00882F85"/>
    <w:rsid w:val="008A2E6B"/>
    <w:rsid w:val="008A7515"/>
    <w:rsid w:val="008A783C"/>
    <w:rsid w:val="008C039F"/>
    <w:rsid w:val="008D33C6"/>
    <w:rsid w:val="008E1F76"/>
    <w:rsid w:val="008E57E1"/>
    <w:rsid w:val="008E6395"/>
    <w:rsid w:val="009006A1"/>
    <w:rsid w:val="00956508"/>
    <w:rsid w:val="00962EF0"/>
    <w:rsid w:val="0097320B"/>
    <w:rsid w:val="00977F7F"/>
    <w:rsid w:val="009815AA"/>
    <w:rsid w:val="00982CDC"/>
    <w:rsid w:val="009863CE"/>
    <w:rsid w:val="00995ED0"/>
    <w:rsid w:val="00996441"/>
    <w:rsid w:val="009A298D"/>
    <w:rsid w:val="009B217B"/>
    <w:rsid w:val="009B50F2"/>
    <w:rsid w:val="009D2E85"/>
    <w:rsid w:val="009D5C2C"/>
    <w:rsid w:val="009D72EA"/>
    <w:rsid w:val="009E5A8A"/>
    <w:rsid w:val="009F3479"/>
    <w:rsid w:val="00A13259"/>
    <w:rsid w:val="00A16D05"/>
    <w:rsid w:val="00A30E83"/>
    <w:rsid w:val="00A4501D"/>
    <w:rsid w:val="00A51AA2"/>
    <w:rsid w:val="00A54BCA"/>
    <w:rsid w:val="00A61FD7"/>
    <w:rsid w:val="00A65B6A"/>
    <w:rsid w:val="00A76673"/>
    <w:rsid w:val="00A87BCE"/>
    <w:rsid w:val="00A94900"/>
    <w:rsid w:val="00AA3FFE"/>
    <w:rsid w:val="00AA565C"/>
    <w:rsid w:val="00AA68AE"/>
    <w:rsid w:val="00AB0EED"/>
    <w:rsid w:val="00AB7085"/>
    <w:rsid w:val="00AD4448"/>
    <w:rsid w:val="00AE1B6C"/>
    <w:rsid w:val="00AF11BE"/>
    <w:rsid w:val="00AF38EC"/>
    <w:rsid w:val="00B0185B"/>
    <w:rsid w:val="00B161A4"/>
    <w:rsid w:val="00B3694A"/>
    <w:rsid w:val="00B41813"/>
    <w:rsid w:val="00B42118"/>
    <w:rsid w:val="00B427C3"/>
    <w:rsid w:val="00B43845"/>
    <w:rsid w:val="00B82424"/>
    <w:rsid w:val="00B9518E"/>
    <w:rsid w:val="00BA392F"/>
    <w:rsid w:val="00BB0332"/>
    <w:rsid w:val="00BB1C78"/>
    <w:rsid w:val="00BB378C"/>
    <w:rsid w:val="00BB3C71"/>
    <w:rsid w:val="00BB6CF4"/>
    <w:rsid w:val="00BD02C0"/>
    <w:rsid w:val="00BD1DDD"/>
    <w:rsid w:val="00C11953"/>
    <w:rsid w:val="00C12B4A"/>
    <w:rsid w:val="00C32332"/>
    <w:rsid w:val="00C33347"/>
    <w:rsid w:val="00C37D62"/>
    <w:rsid w:val="00C5134A"/>
    <w:rsid w:val="00C704A3"/>
    <w:rsid w:val="00C71B07"/>
    <w:rsid w:val="00C74701"/>
    <w:rsid w:val="00C76DAD"/>
    <w:rsid w:val="00C854FD"/>
    <w:rsid w:val="00C873D8"/>
    <w:rsid w:val="00C8756E"/>
    <w:rsid w:val="00C87FDB"/>
    <w:rsid w:val="00C921BC"/>
    <w:rsid w:val="00C94085"/>
    <w:rsid w:val="00C971C1"/>
    <w:rsid w:val="00C97C43"/>
    <w:rsid w:val="00CA1CF9"/>
    <w:rsid w:val="00CA6065"/>
    <w:rsid w:val="00CB0C7F"/>
    <w:rsid w:val="00CB1A56"/>
    <w:rsid w:val="00CB4149"/>
    <w:rsid w:val="00CC00C8"/>
    <w:rsid w:val="00CE54A6"/>
    <w:rsid w:val="00CE5516"/>
    <w:rsid w:val="00D04C8B"/>
    <w:rsid w:val="00D22353"/>
    <w:rsid w:val="00D255AA"/>
    <w:rsid w:val="00D523D6"/>
    <w:rsid w:val="00D54888"/>
    <w:rsid w:val="00D54CCA"/>
    <w:rsid w:val="00D77EE9"/>
    <w:rsid w:val="00D81B1D"/>
    <w:rsid w:val="00D94769"/>
    <w:rsid w:val="00DA0456"/>
    <w:rsid w:val="00DB5442"/>
    <w:rsid w:val="00DC10F5"/>
    <w:rsid w:val="00DD1EB3"/>
    <w:rsid w:val="00DE7A82"/>
    <w:rsid w:val="00DF1C77"/>
    <w:rsid w:val="00E142CB"/>
    <w:rsid w:val="00E144C1"/>
    <w:rsid w:val="00E35E48"/>
    <w:rsid w:val="00E40ED6"/>
    <w:rsid w:val="00E4198B"/>
    <w:rsid w:val="00E45E2E"/>
    <w:rsid w:val="00E63914"/>
    <w:rsid w:val="00E95B71"/>
    <w:rsid w:val="00EB35F4"/>
    <w:rsid w:val="00EC40AF"/>
    <w:rsid w:val="00EC6F27"/>
    <w:rsid w:val="00ED7ACA"/>
    <w:rsid w:val="00EE315F"/>
    <w:rsid w:val="00EE67E1"/>
    <w:rsid w:val="00F435F8"/>
    <w:rsid w:val="00F5716D"/>
    <w:rsid w:val="00F60EC8"/>
    <w:rsid w:val="00F61205"/>
    <w:rsid w:val="00F63E8B"/>
    <w:rsid w:val="00F766DE"/>
    <w:rsid w:val="00F81CBB"/>
    <w:rsid w:val="00F947E3"/>
    <w:rsid w:val="00FA6EE7"/>
    <w:rsid w:val="00FB16AF"/>
    <w:rsid w:val="00FB2BA1"/>
    <w:rsid w:val="00FD21C0"/>
    <w:rsid w:val="00FD708D"/>
    <w:rsid w:val="00FE7F7C"/>
    <w:rsid w:val="00FF3258"/>
    <w:rsid w:val="00FF605E"/>
    <w:rsid w:val="20551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0" w:name="Body Text Indent 2"/>
    <w:lsdException w:uiPriority="99" w:name="Body Text Indent 3"/>
    <w:lsdException w:uiPriority="99" w:name="Block Text"/>
    <w:lsdException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0"/>
    <w:pPr>
      <w:ind w:left="100" w:leftChars="2500"/>
    </w:pPr>
  </w:style>
  <w:style w:type="paragraph" w:styleId="3">
    <w:name w:val="Body Text Indent 2"/>
    <w:basedOn w:val="1"/>
    <w:link w:val="13"/>
    <w:semiHidden/>
    <w:unhideWhenUsed/>
    <w:uiPriority w:val="0"/>
    <w:pPr>
      <w:ind w:firstLine="588" w:firstLineChars="200"/>
    </w:pPr>
    <w:rPr>
      <w:rFonts w:ascii="仿宋_GB2312" w:hAnsi="Calibri" w:eastAsia="仿宋_GB2312"/>
      <w:sz w:val="32"/>
    </w:rPr>
  </w:style>
  <w:style w:type="paragraph" w:styleId="4">
    <w:name w:val="footer"/>
    <w:basedOn w:val="1"/>
    <w:link w:val="17"/>
    <w:semiHidden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0"/>
    <w:semiHidden/>
    <w:unhideWhenUsed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semiHidden/>
    <w:unhideWhenUsed/>
    <w:uiPriority w:val="99"/>
    <w:rPr>
      <w:color w:val="800080" w:themeColor="followedHyperlink"/>
      <w:u w:val="single"/>
    </w:rPr>
  </w:style>
  <w:style w:type="character" w:styleId="9">
    <w:name w:val="Hyperlink"/>
    <w:basedOn w:val="7"/>
    <w:semiHidden/>
    <w:unhideWhenUsed/>
    <w:uiPriority w:val="0"/>
    <w:rPr>
      <w:color w:val="0000FF"/>
      <w:u w:val="single"/>
    </w:rPr>
  </w:style>
  <w:style w:type="character" w:customStyle="1" w:styleId="10">
    <w:name w:val="页眉 Char"/>
    <w:basedOn w:val="7"/>
    <w:link w:val="5"/>
    <w:semiHidden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7"/>
    <w:link w:val="4"/>
    <w:semiHidden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日期 Char"/>
    <w:basedOn w:val="7"/>
    <w:link w:val="2"/>
    <w:semiHidden/>
    <w:uiPriority w:val="0"/>
    <w:rPr>
      <w:rFonts w:ascii="Times New Roman" w:hAnsi="Times New Roman" w:eastAsia="宋体" w:cs="Times New Roman"/>
      <w:szCs w:val="24"/>
    </w:rPr>
  </w:style>
  <w:style w:type="character" w:customStyle="1" w:styleId="13">
    <w:name w:val="正文文本缩进 2 Char"/>
    <w:basedOn w:val="7"/>
    <w:link w:val="3"/>
    <w:semiHidden/>
    <w:uiPriority w:val="0"/>
    <w:rPr>
      <w:rFonts w:ascii="仿宋_GB2312" w:hAnsi="Calibri" w:eastAsia="仿宋_GB2312" w:cs="Times New Roman"/>
      <w:sz w:val="32"/>
      <w:szCs w:val="24"/>
    </w:rPr>
  </w:style>
  <w:style w:type="paragraph" w:customStyle="1" w:styleId="14">
    <w:name w:val="Char"/>
    <w:basedOn w:val="1"/>
    <w:uiPriority w:val="0"/>
    <w:pPr>
      <w:autoSpaceDE w:val="0"/>
      <w:autoSpaceDN w:val="0"/>
      <w:adjustRightInd w:val="0"/>
    </w:pPr>
    <w:rPr>
      <w:rFonts w:ascii="宋体" w:cs="宋体"/>
      <w:kern w:val="0"/>
      <w:sz w:val="20"/>
      <w:szCs w:val="20"/>
      <w:lang w:val="zh-CN"/>
    </w:rPr>
  </w:style>
  <w:style w:type="paragraph" w:customStyle="1" w:styleId="15">
    <w:name w:val="Char1"/>
    <w:basedOn w:val="1"/>
    <w:uiPriority w:val="0"/>
    <w:rPr>
      <w:rFonts w:ascii="仿宋_GB2312" w:eastAsia="仿宋_GB2312"/>
      <w:sz w:val="32"/>
    </w:rPr>
  </w:style>
  <w:style w:type="paragraph" w:customStyle="1" w:styleId="16">
    <w:name w:val="Char Char Char Char Char Char Char Char Char Char Char Char1 Char Char Char Char"/>
    <w:basedOn w:val="1"/>
    <w:uiPriority w:val="0"/>
    <w:pPr>
      <w:numPr>
        <w:ilvl w:val="0"/>
        <w:numId w:val="1"/>
      </w:numPr>
      <w:tabs>
        <w:tab w:val="left" w:pos="720"/>
      </w:tabs>
    </w:pPr>
    <w:rPr>
      <w:szCs w:val="20"/>
    </w:rPr>
  </w:style>
  <w:style w:type="character" w:customStyle="1" w:styleId="17">
    <w:name w:val="页脚 Char1"/>
    <w:basedOn w:val="7"/>
    <w:link w:val="4"/>
    <w:semiHidden/>
    <w:locked/>
    <w:uiPriority w:val="0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8">
    <w:name w:val="标题 3 Char Char"/>
    <w:uiPriority w:val="0"/>
    <w:rPr>
      <w:rFonts w:hint="eastAsia" w:ascii="楷体_GB2312" w:eastAsia="楷体_GB2312"/>
      <w:b/>
      <w:kern w:val="2"/>
      <w:sz w:val="32"/>
      <w:szCs w:val="24"/>
      <w:lang w:val="en-US" w:eastAsia="zh-CN" w:bidi="ar-SA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4585</Words>
  <Characters>4780</Characters>
  <Lines>40</Lines>
  <Paragraphs>11</Paragraphs>
  <TotalTime>350</TotalTime>
  <ScaleCrop>false</ScaleCrop>
  <LinksUpToDate>false</LinksUpToDate>
  <CharactersWithSpaces>5321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2021-07-21T02:14:00Z</dcterms:created>
  <dc:creator>许节来 10.105.116.156</dc:creator>
  <cp:lastModifiedBy>Administrator</cp:lastModifiedBy>
  <cp:lastPrinted>2021-07-22T01:39:00Z</cp:lastPrinted>
  <dcterms:modified xsi:type="dcterms:W3CDTF">2022-08-26T09:10:51Z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0C5FE68B30A8414E8592823241B0018B</vt:lpwstr>
  </property>
</Properties>
</file>